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吴华金律师个人简介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基本信息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吴华金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律师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联系电话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：17820666196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教育背景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中山大学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工作经历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月至今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辰耀</w:t>
      </w:r>
      <w:r>
        <w:rPr>
          <w:rFonts w:hint="eastAsia" w:ascii="仿宋_GB2312" w:hAnsi="仿宋_GB2312" w:eastAsia="仿宋_GB2312" w:cs="仿宋_GB2312"/>
          <w:sz w:val="28"/>
          <w:szCs w:val="28"/>
        </w:rPr>
        <w:t>律师事务所</w:t>
      </w:r>
      <w:r>
        <w:rPr>
          <w:rFonts w:hint="default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专职律师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专业领域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吴华金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律师</w:t>
      </w:r>
      <w:r>
        <w:rPr>
          <w:rFonts w:hint="eastAsia" w:ascii="仿宋_GB2312" w:hAnsi="仿宋_GB2312" w:eastAsia="仿宋_GB2312" w:cs="仿宋_GB2312"/>
          <w:sz w:val="28"/>
          <w:szCs w:val="28"/>
        </w:rPr>
        <w:t>以428分通过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国家</w:t>
      </w:r>
      <w:r>
        <w:rPr>
          <w:rFonts w:hint="eastAsia" w:ascii="仿宋_GB2312" w:hAnsi="仿宋_GB2312" w:eastAsia="仿宋_GB2312" w:cs="仿宋_GB2312"/>
          <w:sz w:val="28"/>
          <w:szCs w:val="28"/>
        </w:rPr>
        <w:t>司法考试，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已取得法律职业资格证和证券从业资格证书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法律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金融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专业基础扎实</w:t>
      </w:r>
      <w:r>
        <w:rPr>
          <w:rFonts w:hint="default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具有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7年多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的法院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律所等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经验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熟悉保全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诉讼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/仲裁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执行等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流程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，擅长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办理劳动争议、经济合同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公司股权等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各类民商事争议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及刑事辩护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现/曾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担任多家企业法律顾问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主要执业领域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劳动争议、经济合同、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股权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民商事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争议及刑事辩护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0"/>
        </w:numPr>
        <w:ind w:leftChars="0" w:right="0" w:righ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FCC71"/>
    <w:rsid w:val="2FF0DE0D"/>
    <w:rsid w:val="36E0F828"/>
    <w:rsid w:val="37BFD18F"/>
    <w:rsid w:val="3E7FAC79"/>
    <w:rsid w:val="3FFBF3FC"/>
    <w:rsid w:val="4FCF84F2"/>
    <w:rsid w:val="5BCBB7C2"/>
    <w:rsid w:val="5EFCEE5C"/>
    <w:rsid w:val="5F6467A8"/>
    <w:rsid w:val="6BFF89E2"/>
    <w:rsid w:val="6EBD2141"/>
    <w:rsid w:val="73ED3F3B"/>
    <w:rsid w:val="7947CBC6"/>
    <w:rsid w:val="7BFEDEE3"/>
    <w:rsid w:val="7DBDCE3C"/>
    <w:rsid w:val="7F9EF544"/>
    <w:rsid w:val="7FBF3AF0"/>
    <w:rsid w:val="7FBFB857"/>
    <w:rsid w:val="9E6BBD6E"/>
    <w:rsid w:val="9FFE1E3A"/>
    <w:rsid w:val="9FFF6153"/>
    <w:rsid w:val="BEEE2420"/>
    <w:rsid w:val="CCD9EC6B"/>
    <w:rsid w:val="CDFF41E3"/>
    <w:rsid w:val="DDDB7E60"/>
    <w:rsid w:val="DF1783B7"/>
    <w:rsid w:val="EFEC678E"/>
    <w:rsid w:val="EFFD4411"/>
    <w:rsid w:val="F3F7B438"/>
    <w:rsid w:val="F52FCC4C"/>
    <w:rsid w:val="F53DDD5B"/>
    <w:rsid w:val="F7B25E47"/>
    <w:rsid w:val="F7BFC872"/>
    <w:rsid w:val="FA2C81BA"/>
    <w:rsid w:val="FBAEF6B5"/>
    <w:rsid w:val="FCFF6CC7"/>
    <w:rsid w:val="FDFFF778"/>
    <w:rsid w:val="FF3FB531"/>
    <w:rsid w:val="FF54D6C7"/>
    <w:rsid w:val="FFBDFCD4"/>
    <w:rsid w:val="FFED2516"/>
    <w:rsid w:val="FFEFA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2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70"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6">
    <w:name w:val="Table Grid"/>
    <w:basedOn w:val="2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footnote reference"/>
    <w:basedOn w:val="27"/>
    <w:unhideWhenUsed/>
    <w:qFormat/>
    <w:uiPriority w:val="99"/>
    <w:rPr>
      <w:vertAlign w:val="superscript"/>
    </w:rPr>
  </w:style>
  <w:style w:type="character" w:customStyle="1" w:styleId="30">
    <w:name w:val="Heading 1 Char"/>
    <w:basedOn w:val="2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7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7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7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7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7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7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41">
    <w:name w:val="Title Char"/>
    <w:basedOn w:val="27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7"/>
    <w:link w:val="19"/>
    <w:qFormat/>
    <w:uiPriority w:val="11"/>
    <w:rPr>
      <w:sz w:val="24"/>
      <w:szCs w:val="24"/>
    </w:rPr>
  </w:style>
  <w:style w:type="paragraph" w:customStyle="1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customStyle="1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7"/>
    <w:link w:val="16"/>
    <w:qFormat/>
    <w:uiPriority w:val="99"/>
  </w:style>
  <w:style w:type="character" w:customStyle="1" w:styleId="48">
    <w:name w:val="Footer Char"/>
    <w:basedOn w:val="27"/>
    <w:link w:val="15"/>
    <w:qFormat/>
    <w:uiPriority w:val="99"/>
  </w:style>
  <w:style w:type="table" w:customStyle="1" w:styleId="49">
    <w:name w:val="Lined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0">
    <w:name w:val="Lined - Accent 1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1">
    <w:name w:val="Lined - Accent 2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2">
    <w:name w:val="Lined - Accent 3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3">
    <w:name w:val="Lined - Accent 4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4">
    <w:name w:val="Lined - Accent 5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5">
    <w:name w:val="Lined - Accent 6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6">
    <w:name w:val="Bordered"/>
    <w:basedOn w:val="25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7">
    <w:name w:val="Bordered - Accent 1"/>
    <w:basedOn w:val="25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8">
    <w:name w:val="Bordered - Accent 2"/>
    <w:basedOn w:val="25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59">
    <w:name w:val="Bordered - Accent 3"/>
    <w:basedOn w:val="25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0">
    <w:name w:val="Bordered - Accent 4"/>
    <w:basedOn w:val="25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1">
    <w:name w:val="Bordered - Accent 5"/>
    <w:basedOn w:val="25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2">
    <w:name w:val="Bordered - Accent 6"/>
    <w:basedOn w:val="25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3">
    <w:name w:val="Bordered &amp; Lined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4">
    <w:name w:val="Bordered &amp; Lined - Accent 1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5">
    <w:name w:val="Bordered &amp; Lined - Accent 2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6">
    <w:name w:val="Bordered &amp; Lined - Accent 3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7">
    <w:name w:val="Bordered &amp; Lined - Accent 4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8">
    <w:name w:val="Bordered &amp; Lined - Accent 5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9">
    <w:name w:val="Bordered &amp; Lined - Accent 6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0">
    <w:name w:val="Footnote Text Char"/>
    <w:link w:val="20"/>
    <w:qFormat/>
    <w:uiPriority w:val="99"/>
    <w:rPr>
      <w:sz w:val="18"/>
    </w:rPr>
  </w:style>
  <w:style w:type="paragraph" w:customStyle="1" w:styleId="71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72">
    <w:name w:val="标题 1 Char"/>
    <w:basedOn w:val="27"/>
    <w:link w:val="2"/>
    <w:qFormat/>
    <w:uiPriority w:val="9"/>
    <w:rPr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337</Characters>
  <TotalTime>31</TotalTime>
  <ScaleCrop>false</ScaleCrop>
  <LinksUpToDate>false</LinksUpToDate>
  <CharactersWithSpaces>375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2021-09-24T17:15:00Z</dcterms:created>
  <dc:creator>wuhuajin</dc:creator>
  <cp:lastModifiedBy>大吴小金</cp:lastModifiedBy>
  <dcterms:modified xsi:type="dcterms:W3CDTF">2024-06-12T18:00:57Z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767F6CDA574F5EFBE0B49764ECA54A09_42</vt:lpwstr>
  </property>
</Properties>
</file>