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1"/>
        <w:gridCol w:w="5199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范楚涵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drawing>
                <wp:inline distT="0" distB="0" distL="114300" distR="114300">
                  <wp:extent cx="1589405" cy="1884045"/>
                  <wp:effectExtent l="0" t="0" r="10795" b="1905"/>
                  <wp:docPr id="2" name="图片 2" descr="证件照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证件照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性别：女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1994/10/2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手机： 15813896076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邮箱：729185196@qq.com</w:t>
            </w: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民族：汉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政治面貌：团员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学历：本科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专业：法学</w:t>
            </w: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教育背景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5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610"/>
        <w:gridCol w:w="241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学习经历：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大学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法学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（专业）</w:t>
            </w: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本科</w:t>
            </w: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.09 - 201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工作经历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6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343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广东辰耀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专职律师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民商法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领域</w:t>
            </w: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- 2021.0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55" w:type="dxa"/>
            <w:gridSpan w:val="3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  <w:t>工作内容：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处理民商事法律纠纷，为法律顾问单位提供专项法律服务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55" w:type="dxa"/>
            <w:gridSpan w:val="3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455" w:type="dxa"/>
            <w:gridSpan w:val="3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455" w:type="dxa"/>
            <w:gridSpan w:val="3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北京市汉威（深圳）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专职律师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民商法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领域</w:t>
            </w: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.07 -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455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  <w:t>工作内容：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val="en-US" w:eastAsia="zh-CN"/>
              </w:rPr>
              <w:t>处理民商事法律纠纷，为法律顾问单位提供专项法律服务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  <w:lang w:eastAsia="zh-CN"/>
        </w:rPr>
        <w:t>个人简介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（*提示：此部分可根据个人情况填写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  <w:lang w:eastAsia="zh-CN"/>
        </w:rPr>
        <w:t>擅长领域、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经手的案件、参与的法律服务项目）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7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</w:rPr>
              <w:t>毕业于深圳大学，法学学士，2017年开始在律所从事法律实务工作，擅长劳动法、合同法、公司法等领域的法律服务。帮助公司拟订、修改合同，预防和控制公司经营过程中的法律风险，起草和审查相关法律文件，处理纠纷。所在律师团队曾或正在为深圳市黑石纪元科技有限公司、深圳市前海知新科技有限公司、深圳市易瞳科技有限公司、深圳懂你机器人科技有限公司、深圳市黑石纪元科技有限公司、麦斯威科技有限公司等企业提供优质法律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（*提示：此部分可根据个人情况填写补充信息，如获奖情况、技能等）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</w:rPr>
        <w:pict>
          <v:rect id="_x0000_i1028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 w:line="312" w:lineRule="auto"/>
        <w:ind w:left="72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</w:rPr>
        <w:t>外语水平：英语（CET-6）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 w:line="312" w:lineRule="auto"/>
        <w:ind w:left="720" w:right="0"/>
        <w:jc w:val="left"/>
        <w:rPr>
          <w:rFonts w:hint="default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         日语N2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 w:line="312" w:lineRule="auto"/>
        <w:ind w:left="72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</w:rPr>
        <w:t>资格证书：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 w:line="312" w:lineRule="auto"/>
        <w:ind w:left="72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</w:rPr>
        <w:t>获奖情况：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868F3"/>
    <w:rsid w:val="01821B1F"/>
    <w:rsid w:val="1A3868F3"/>
    <w:rsid w:val="1C6E2E2E"/>
    <w:rsid w:val="239803C4"/>
    <w:rsid w:val="3A5F748F"/>
    <w:rsid w:val="4602703A"/>
    <w:rsid w:val="77B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2021-03-25T08:59:00Z</dcterms:created>
  <dc:creator>南山司法局</dc:creator>
  <cp:lastModifiedBy>Fanchuhan</cp:lastModifiedBy>
  <dcterms:modified xsi:type="dcterms:W3CDTF">2021-04-22T04:12:53Z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AB5B1AAD47954EACBAD7A0948B90D0D4</vt:lpwstr>
  </property>
</Properties>
</file>